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POLITYKA PRYWATNOŚCI </w:t>
      </w:r>
      <w:r w:rsidDel="00000000" w:rsidR="00000000" w:rsidRPr="00000000">
        <w:rPr>
          <w:b w:val="1"/>
          <w:bCs w:val="1"/>
          <w:sz w:val="24"/>
          <w:szCs w:val="24"/>
          <w:rtl w:val="0"/>
        </w:rPr>
        <w:t xml:space="preserve">Handmade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b w:val="1"/>
          <w:bCs w:val="1"/>
          <w:color w:val="000000"/>
          <w:sz w:val="24"/>
          <w:szCs w:val="24"/>
        </w:rPr>
      </w:pPr>
      <w:r w:rsidDel="00000000" w:rsidR="00000000" w:rsidRPr="00000000">
        <w:rPr>
          <w:rtl w:val="0"/>
        </w:rPr>
      </w:r>
    </w:p>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spacing w:after="240" w:line="240" w:lineRule="auto"/>
        <w:ind w:left="720" w:hanging="360"/>
        <w:jc w:val="center"/>
        <w:rPr>
          <w:b w:val="1"/>
          <w:bCs w:val="1"/>
          <w:color w:val="000000"/>
          <w:sz w:val="24"/>
          <w:szCs w:val="24"/>
        </w:rPr>
      </w:pPr>
      <w:r w:rsidDel="00000000" w:rsidR="00000000" w:rsidRPr="00000000">
        <w:rPr>
          <w:b w:val="1"/>
          <w:bCs w:val="1"/>
          <w:color w:val="000000"/>
          <w:sz w:val="24"/>
          <w:szCs w:val="24"/>
          <w:rtl w:val="0"/>
        </w:rPr>
        <w:t xml:space="preserve">Kto jest administratorem państwa danych?</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Administratorem Pani/ Pana danych osobowych jest </w:t>
      </w:r>
      <w:r w:rsidDel="00000000" w:rsidR="00000000" w:rsidRPr="00000000">
        <w:rPr>
          <w:b w:val="1"/>
          <w:bCs w:val="1"/>
          <w:color w:val="000000"/>
          <w:rtl w:val="0"/>
        </w:rPr>
        <w:t xml:space="preserve">FUNDACJA ROZWOJU PRZEDSIĘBIORCZOŚCI „TWÓJ STARTUP”</w:t>
      </w:r>
      <w:r w:rsidDel="00000000" w:rsidR="00000000" w:rsidRPr="00000000">
        <w:rPr>
          <w:color w:val="000000"/>
          <w:rtl w:val="0"/>
        </w:rPr>
        <w:t xml:space="preserve"> z siedzibą w Warszawie (adres siedziby: </w:t>
        <w:br w:type="textWrapping"/>
        <w:t xml:space="preserve">ul. Żurawia 6/12, lok. 766, 00-503 Warszawa).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color w:val="000000"/>
          <w:shd w:fill="fff200" w:val="clear"/>
        </w:rPr>
      </w:pPr>
      <w:r w:rsidDel="00000000" w:rsidR="00000000" w:rsidRPr="00000000">
        <w:rPr>
          <w:color w:val="000000"/>
          <w:rtl w:val="0"/>
        </w:rPr>
        <w:t xml:space="preserve">Powyższa polityka prywatności dotyczy usług Fundacji świadczonych przez  zorganizowaną część przedsiębiorstwa </w:t>
      </w:r>
      <w:r w:rsidDel="00000000" w:rsidR="00000000" w:rsidRPr="00000000">
        <w:rPr>
          <w:highlight w:val="yellow"/>
          <w:rtl w:val="0"/>
        </w:rPr>
        <w:t xml:space="preserve">Handmade </w:t>
      </w:r>
      <w:r w:rsidDel="00000000" w:rsidR="00000000" w:rsidRPr="00000000">
        <w:rPr>
          <w:color w:val="000000"/>
          <w:rtl w:val="0"/>
        </w:rPr>
        <w:t xml:space="preserve">dane kontaktowe: numer telefonu </w:t>
      </w:r>
      <w:r w:rsidDel="00000000" w:rsidR="00000000" w:rsidRPr="00000000">
        <w:rPr>
          <w:shd w:fill="fff200" w:val="clear"/>
          <w:rtl w:val="0"/>
        </w:rPr>
        <w:t xml:space="preserve">+48780549399</w:t>
      </w:r>
      <w:r w:rsidDel="00000000" w:rsidR="00000000" w:rsidRPr="00000000">
        <w:rPr>
          <w:color w:val="000000"/>
          <w:shd w:fill="fff200" w:val="clear"/>
          <w:rtl w:val="0"/>
        </w:rPr>
        <w:t xml:space="preserve">, adres e-mail: </w:t>
      </w:r>
      <w:r w:rsidDel="00000000" w:rsidR="00000000" w:rsidRPr="00000000">
        <w:rPr>
          <w:shd w:fill="fff200" w:val="clear"/>
          <w:rtl w:val="0"/>
        </w:rPr>
        <w:t xml:space="preserve">pk9922404@gmail.com</w:t>
      </w:r>
      <w:r w:rsidDel="00000000" w:rsidR="00000000" w:rsidRPr="00000000">
        <w:rPr>
          <w:color w:val="000000"/>
          <w:shd w:fill="fff200" w:val="clear"/>
          <w:rtl w:val="0"/>
        </w:rPr>
        <w:t xml:space="preserve"> realizowanych  przez </w:t>
      </w:r>
      <w:r w:rsidDel="00000000" w:rsidR="00000000" w:rsidRPr="00000000">
        <w:rPr>
          <w:shd w:fill="fff200" w:val="clear"/>
          <w:rtl w:val="0"/>
        </w:rPr>
        <w:t xml:space="preserve">Palina Krasnouskaya</w:t>
      </w:r>
      <w:r w:rsidDel="00000000" w:rsidR="00000000" w:rsidRPr="00000000">
        <w:rPr>
          <w:color w:val="000000"/>
          <w:shd w:fill="fff200" w:val="clear"/>
          <w:rtl w:val="0"/>
        </w:rPr>
        <w:t xml:space="preserv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color w:val="000000"/>
          <w:sz w:val="24"/>
          <w:szCs w:val="24"/>
          <w:shd w:fill="fff200"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after="240" w:line="240" w:lineRule="auto"/>
        <w:ind w:left="720" w:hanging="360"/>
        <w:jc w:val="center"/>
        <w:rPr>
          <w:b w:val="1"/>
          <w:bCs w:val="1"/>
          <w:color w:val="000000"/>
          <w:sz w:val="24"/>
          <w:szCs w:val="24"/>
        </w:rPr>
      </w:pPr>
      <w:r w:rsidDel="00000000" w:rsidR="00000000" w:rsidRPr="00000000">
        <w:rPr>
          <w:b w:val="1"/>
          <w:bCs w:val="1"/>
          <w:color w:val="000000"/>
          <w:sz w:val="24"/>
          <w:szCs w:val="24"/>
          <w:rtl w:val="0"/>
        </w:rPr>
        <w:t xml:space="preserve">Dlaczego przetwarzamy Państwa Dane?</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pacing w:after="0" w:line="240" w:lineRule="auto"/>
        <w:ind w:left="795" w:hanging="360"/>
        <w:jc w:val="both"/>
        <w:rPr>
          <w:color w:val="000000"/>
        </w:rPr>
      </w:pPr>
      <w:r w:rsidDel="00000000" w:rsidR="00000000" w:rsidRPr="00000000">
        <w:rPr>
          <w:color w:val="191919"/>
          <w:highlight w:val="white"/>
          <w:rtl w:val="0"/>
        </w:rPr>
        <w:t xml:space="preserve">W związku z usługami świadczonymi za </w:t>
      </w:r>
      <w:sdt>
        <w:sdtPr>
          <w:id w:val="-821148654"/>
          <w:tag w:val="goog_rdk_0"/>
        </w:sdtPr>
        <w:sdtContent>
          <w:commentRangeStart w:id="0"/>
        </w:sdtContent>
      </w:sdt>
      <w:r w:rsidDel="00000000" w:rsidR="00000000" w:rsidRPr="00000000">
        <w:rPr>
          <w:color w:val="191919"/>
          <w:highlight w:val="white"/>
          <w:rtl w:val="0"/>
        </w:rPr>
        <w:t xml:space="preserve">pośrednictwem</w:t>
      </w:r>
      <w:commentRangeEnd w:id="0"/>
      <w:r w:rsidDel="00000000" w:rsidR="00000000" w:rsidRPr="00000000">
        <w:commentReference w:id="0"/>
      </w:r>
      <w:r w:rsidDel="00000000" w:rsidR="00000000" w:rsidRPr="00000000">
        <w:rPr>
          <w:color w:val="191919"/>
          <w:highlight w:val="white"/>
          <w:rtl w:val="0"/>
        </w:rPr>
        <w:t xml:space="preserve"> </w:t>
      </w:r>
      <w:r w:rsidDel="00000000" w:rsidR="00000000" w:rsidRPr="00000000">
        <w:rPr>
          <w:color w:val="191919"/>
          <w:highlight w:val="yellow"/>
          <w:rtl w:val="0"/>
        </w:rPr>
        <w:t xml:space="preserve">Handmade</w:t>
      </w:r>
      <w:r w:rsidDel="00000000" w:rsidR="00000000" w:rsidRPr="00000000">
        <w:rPr>
          <w:color w:val="191919"/>
          <w:highlight w:val="white"/>
          <w:rtl w:val="0"/>
        </w:rPr>
        <w:t xml:space="preserve"> polegającymi na </w:t>
      </w:r>
      <w:r w:rsidDel="00000000" w:rsidR="00000000" w:rsidRPr="00000000">
        <w:rPr>
          <w:color w:val="191919"/>
          <w:highlight w:val="yellow"/>
          <w:rtl w:val="0"/>
        </w:rPr>
        <w:t xml:space="preserve">Malowane akwarelą i ręcznie robiona biżuteria</w:t>
      </w:r>
      <w:r w:rsidDel="00000000" w:rsidR="00000000" w:rsidRPr="00000000">
        <w:rPr>
          <w:color w:val="191919"/>
          <w:highlight w:val="white"/>
          <w:rtl w:val="0"/>
        </w:rPr>
        <w:t xml:space="preserve"> Tj. w celu zawarcia lub wykonania umowy (art.  6 ust. 1 lit.b Rozporządzenia), Państwa dane będą przechowywane do czasu wykonania umowy</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795" w:firstLine="0"/>
        <w:jc w:val="both"/>
        <w:rPr>
          <w:color w:val="191919"/>
          <w:highlight w:val="yellow"/>
        </w:rPr>
      </w:pPr>
      <w:r w:rsidDel="00000000" w:rsidR="00000000" w:rsidRPr="00000000">
        <w:rPr>
          <w:rtl w:val="0"/>
        </w:rPr>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pacing w:after="0" w:line="240" w:lineRule="auto"/>
        <w:ind w:left="795" w:hanging="360"/>
        <w:jc w:val="both"/>
        <w:rPr>
          <w:color w:val="191919"/>
          <w:highlight w:val="white"/>
        </w:rPr>
      </w:pPr>
      <w:r w:rsidDel="00000000" w:rsidR="00000000" w:rsidRPr="00000000">
        <w:rPr>
          <w:color w:val="191919"/>
          <w:highlight w:val="white"/>
          <w:rtl w:val="0"/>
        </w:rPr>
        <w:t xml:space="preserve">Wypełniania wszelkich ciążących na nas obowiązków prawnych w związku z podjętą współpracą (art. 6 ust. 1 lit. c Rozporządzenia), cel ten związany jest z obowiązkami prawnymi przechowania określonych dokumentów przez czas wskazany w przepisach prawa, np.:</w:t>
      </w:r>
    </w:p>
    <w:p w:rsidR="00000000" w:rsidDel="00000000" w:rsidP="00000000" w:rsidRDefault="00000000" w:rsidRPr="00000000" w14:paraId="0000000D">
      <w:pPr>
        <w:numPr>
          <w:ilvl w:val="1"/>
          <w:numId w:val="4"/>
        </w:numPr>
        <w:pBdr>
          <w:top w:space="0" w:sz="0" w:val="nil"/>
          <w:left w:space="0" w:sz="0" w:val="nil"/>
          <w:bottom w:space="0" w:sz="0" w:val="nil"/>
          <w:right w:space="0" w:sz="0" w:val="nil"/>
          <w:between w:space="0" w:sz="0" w:val="nil"/>
        </w:pBdr>
        <w:spacing w:after="0" w:line="240" w:lineRule="auto"/>
        <w:ind w:left="1515" w:hanging="360"/>
        <w:jc w:val="both"/>
        <w:rPr>
          <w:color w:val="191919"/>
          <w:highlight w:val="white"/>
        </w:rPr>
      </w:pPr>
      <w:r w:rsidDel="00000000" w:rsidR="00000000" w:rsidRPr="00000000">
        <w:rPr>
          <w:color w:val="191919"/>
          <w:highlight w:val="white"/>
          <w:rtl w:val="0"/>
        </w:rPr>
        <w:t xml:space="preserve">Ustawy z 29.09.1994 r. o rachunkowości (Dz. U. z 2017 r. poz. 1858);</w:t>
      </w:r>
    </w:p>
    <w:p w:rsidR="00000000" w:rsidDel="00000000" w:rsidP="00000000" w:rsidRDefault="00000000" w:rsidRPr="00000000" w14:paraId="0000000E">
      <w:pPr>
        <w:numPr>
          <w:ilvl w:val="1"/>
          <w:numId w:val="4"/>
        </w:numPr>
        <w:pBdr>
          <w:top w:space="0" w:sz="0" w:val="nil"/>
          <w:left w:space="0" w:sz="0" w:val="nil"/>
          <w:bottom w:space="0" w:sz="0" w:val="nil"/>
          <w:right w:space="0" w:sz="0" w:val="nil"/>
          <w:between w:space="0" w:sz="0" w:val="nil"/>
        </w:pBdr>
        <w:spacing w:after="0" w:line="240" w:lineRule="auto"/>
        <w:ind w:left="1515" w:hanging="360"/>
        <w:jc w:val="both"/>
        <w:rPr>
          <w:color w:val="191919"/>
          <w:highlight w:val="white"/>
        </w:rPr>
      </w:pPr>
      <w:r w:rsidDel="00000000" w:rsidR="00000000" w:rsidRPr="00000000">
        <w:rPr>
          <w:color w:val="191919"/>
          <w:highlight w:val="white"/>
          <w:rtl w:val="0"/>
        </w:rPr>
        <w:t xml:space="preserve">Ustawy z dnia 29 sierpnia 1997 r. - Ordynacja podatkowa (Dz. U. 1997 nr 137 poz. 926);</w:t>
      </w:r>
    </w:p>
    <w:p w:rsidR="00000000" w:rsidDel="00000000" w:rsidP="00000000" w:rsidRDefault="00000000" w:rsidRPr="00000000" w14:paraId="0000000F">
      <w:pPr>
        <w:numPr>
          <w:ilvl w:val="1"/>
          <w:numId w:val="4"/>
        </w:numPr>
        <w:pBdr>
          <w:top w:space="0" w:sz="0" w:val="nil"/>
          <w:left w:space="0" w:sz="0" w:val="nil"/>
          <w:bottom w:space="0" w:sz="0" w:val="nil"/>
          <w:right w:space="0" w:sz="0" w:val="nil"/>
          <w:between w:space="0" w:sz="0" w:val="nil"/>
        </w:pBdr>
        <w:spacing w:after="0" w:line="240" w:lineRule="auto"/>
        <w:ind w:left="1515" w:hanging="360"/>
        <w:jc w:val="both"/>
        <w:rPr>
          <w:color w:val="191919"/>
          <w:highlight w:val="white"/>
        </w:rPr>
      </w:pPr>
      <w:r w:rsidDel="00000000" w:rsidR="00000000" w:rsidRPr="00000000">
        <w:rPr>
          <w:color w:val="191919"/>
          <w:highlight w:val="white"/>
          <w:rtl w:val="0"/>
        </w:rPr>
        <w:t xml:space="preserve">Ustawy z dnia 1 marca 2018 r. - o przeciwdziałaniu praniu pieniędzy oraz finansowaniu terroryzmu (Dz. U. 2018 poz. 723).</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pacing w:after="0" w:line="240" w:lineRule="auto"/>
        <w:ind w:left="795" w:hanging="360"/>
        <w:jc w:val="both"/>
        <w:rPr>
          <w:color w:val="191919"/>
          <w:highlight w:val="white"/>
        </w:rPr>
      </w:pPr>
      <w:r w:rsidDel="00000000" w:rsidR="00000000" w:rsidRPr="00000000">
        <w:rPr>
          <w:color w:val="191919"/>
          <w:highlight w:val="white"/>
          <w:rtl w:val="0"/>
        </w:rPr>
        <w:t xml:space="preserve">W celu ewentualnego ustalenia, dochodzenia lub obrony przed roszczeniami, co jest naszym prawnie uzasadnionym interesem (podstawa z art. 6 ust. 1 lit. f) Rozporządzenia). Dane będą przetwarzane do czasu przedawnienia roszczeń</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pacing w:after="0" w:line="240" w:lineRule="auto"/>
        <w:ind w:left="795" w:hanging="360"/>
        <w:jc w:val="both"/>
        <w:rPr>
          <w:color w:val="191919"/>
          <w:highlight w:val="white"/>
        </w:rPr>
      </w:pPr>
      <w:r w:rsidDel="00000000" w:rsidR="00000000" w:rsidRPr="00000000">
        <w:rPr>
          <w:color w:val="191919"/>
          <w:highlight w:val="white"/>
          <w:rtl w:val="0"/>
        </w:rPr>
        <w:t xml:space="preserve">W przypadku wyrażenia zgody, Państwa dane będą przetwarzane w granicach i celu wskazanym w wyrażonej zgodzie (podstawa z art. 6 ust. 1 lit. a).  Dane będą przetwarzane do czasu wycofania zgody</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color w:val="191919"/>
          <w:highlight w:val="white"/>
        </w:rPr>
      </w:pP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240" w:line="240" w:lineRule="auto"/>
        <w:ind w:left="720" w:hanging="360"/>
        <w:jc w:val="center"/>
        <w:rPr>
          <w:b w:val="1"/>
          <w:bCs w:val="1"/>
          <w:color w:val="000000"/>
          <w:sz w:val="24"/>
          <w:szCs w:val="24"/>
        </w:rPr>
      </w:pPr>
      <w:r w:rsidDel="00000000" w:rsidR="00000000" w:rsidRPr="00000000">
        <w:rPr>
          <w:b w:val="1"/>
          <w:bCs w:val="1"/>
          <w:color w:val="000000"/>
          <w:sz w:val="24"/>
          <w:szCs w:val="24"/>
          <w:rtl w:val="0"/>
        </w:rPr>
        <w:t xml:space="preserve">Jakie dane podlegają przetwarzaniu?</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Do zawarcia umowy wymagamy podania danych na formularzu umowy / zamówienia (jeśli ich Państwo nie podadzą, nie zawrzemy umowy/ nie wykonamy zamówienia). Dodatkowo możemy poprosić o dane opcjonalne, które nie mają wpływu na zawarcie umowy (jeśli ich nie otrzymamy, nie będziemy mogli, np. dzwonić pod numer kontaktowy).</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W trakcie trwania umowy, świadcząc usługi, wchodzimy w posiadanie innych Pani/Pana danych. Pojawienie się u nas Pani/Pana danych osobowych jest konsekwencją działania naszych usług, z których Pan/Pani korzysta.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240" w:line="240" w:lineRule="auto"/>
        <w:ind w:left="720" w:hanging="360"/>
        <w:jc w:val="center"/>
        <w:rPr>
          <w:b w:val="1"/>
          <w:bCs w:val="1"/>
          <w:color w:val="000000"/>
          <w:sz w:val="24"/>
          <w:szCs w:val="24"/>
        </w:rPr>
      </w:pPr>
      <w:r w:rsidDel="00000000" w:rsidR="00000000" w:rsidRPr="00000000">
        <w:rPr>
          <w:b w:val="1"/>
          <w:bCs w:val="1"/>
          <w:color w:val="000000"/>
          <w:sz w:val="24"/>
          <w:szCs w:val="24"/>
          <w:rtl w:val="0"/>
        </w:rPr>
        <w:t xml:space="preserve">Komu zostaną udostępnione dane?</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240" w:lineRule="auto"/>
        <w:ind w:left="795" w:hanging="360"/>
        <w:jc w:val="both"/>
        <w:rPr>
          <w:color w:val="191919"/>
          <w:highlight w:val="white"/>
        </w:rPr>
      </w:pPr>
      <w:r w:rsidDel="00000000" w:rsidR="00000000" w:rsidRPr="00000000">
        <w:rPr>
          <w:color w:val="191919"/>
          <w:highlight w:val="white"/>
          <w:rtl w:val="0"/>
        </w:rPr>
        <w:t xml:space="preserve">Organy władzy publicznej, w zakresie, w którym nie otrzymują danych w ramach konkretnego postępowania na podstawie prawa np. w związku z przeciwdziałaniem praniu pieniędzy; </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0" w:line="240" w:lineRule="auto"/>
        <w:ind w:left="795" w:hanging="360"/>
        <w:jc w:val="both"/>
        <w:rPr>
          <w:color w:val="191919"/>
          <w:highlight w:val="white"/>
        </w:rPr>
      </w:pPr>
      <w:bookmarkStart w:colFirst="0" w:colLast="0" w:name="_heading=h.18isxi5p2c4h" w:id="0"/>
      <w:bookmarkEnd w:id="0"/>
      <w:r w:rsidDel="00000000" w:rsidR="00000000" w:rsidRPr="00000000">
        <w:rPr>
          <w:color w:val="191919"/>
          <w:highlight w:val="white"/>
          <w:rtl w:val="0"/>
        </w:rPr>
        <w:t xml:space="preserve">Podmioty, które przetwarzają Pana/Pani dane osobowe w imieniu Fundacji na podstawie zawartej z Fundacją umowy powierzania przetwarzania danych osobowych (tzw. podmioty przetwarzające). Będą to, m.in.: Beneficjenci Fundacji, informatycy, firmy archiwizujące, firmy hostingowe;</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0" w:line="240" w:lineRule="auto"/>
        <w:ind w:left="795" w:hanging="360"/>
        <w:jc w:val="both"/>
        <w:rPr>
          <w:color w:val="191919"/>
          <w:highlight w:val="white"/>
        </w:rPr>
      </w:pPr>
      <w:r w:rsidDel="00000000" w:rsidR="00000000" w:rsidRPr="00000000">
        <w:rPr>
          <w:color w:val="191919"/>
          <w:highlight w:val="white"/>
          <w:rtl w:val="0"/>
        </w:rPr>
        <w:t xml:space="preserve">Zewnętrzni administratorzy danych (tzw. Równoległy Administrator, któremu dane są udostępniane, np. radcy prawni i adwokaci, podmioty prowadzące działalność kurierską lub pocztową, podmioty nabywające wierzytelności - w razie niezapłacenia przez Państwa naszych faktur w terminie),</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pacing w:after="0" w:line="240" w:lineRule="auto"/>
        <w:ind w:left="795" w:hanging="360"/>
        <w:jc w:val="both"/>
        <w:rPr>
          <w:color w:val="191919"/>
          <w:highlight w:val="white"/>
        </w:rPr>
      </w:pPr>
      <w:r w:rsidDel="00000000" w:rsidR="00000000" w:rsidRPr="00000000">
        <w:rPr>
          <w:color w:val="191919"/>
          <w:highlight w:val="white"/>
          <w:rtl w:val="0"/>
        </w:rPr>
        <w:t xml:space="preserve">Podmioty znajdujące się poza EOG, lecz tylko wtedy, gdy jest to konieczne i z zapewnieniem odpowiedniego stopnia ochrony, przede wszystkim poprzez:</w:t>
      </w:r>
    </w:p>
    <w:p w:rsidR="00000000" w:rsidDel="00000000" w:rsidP="00000000" w:rsidRDefault="00000000" w:rsidRPr="00000000" w14:paraId="0000001C">
      <w:pPr>
        <w:numPr>
          <w:ilvl w:val="1"/>
          <w:numId w:val="3"/>
        </w:numPr>
        <w:pBdr>
          <w:top w:space="0" w:sz="0" w:val="nil"/>
          <w:left w:space="0" w:sz="0" w:val="nil"/>
          <w:bottom w:space="0" w:sz="0" w:val="nil"/>
          <w:right w:space="0" w:sz="0" w:val="nil"/>
          <w:between w:space="0" w:sz="0" w:val="nil"/>
        </w:pBdr>
        <w:spacing w:after="0" w:line="240" w:lineRule="auto"/>
        <w:ind w:left="1515" w:hanging="360"/>
        <w:jc w:val="both"/>
        <w:rPr>
          <w:color w:val="191919"/>
          <w:highlight w:val="white"/>
        </w:rPr>
      </w:pPr>
      <w:r w:rsidDel="00000000" w:rsidR="00000000" w:rsidRPr="00000000">
        <w:rPr>
          <w:color w:val="191919"/>
          <w:highlight w:val="white"/>
          <w:rtl w:val="0"/>
        </w:rPr>
        <w:t xml:space="preserve">Współpracę z podmiotami w państwach, w odniesieniu, do których została wydana stosowna decyzja Komisji Europejskiej;</w:t>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spacing w:after="0" w:line="240" w:lineRule="auto"/>
        <w:ind w:left="1515" w:hanging="360"/>
        <w:jc w:val="both"/>
        <w:rPr>
          <w:color w:val="191919"/>
          <w:highlight w:val="white"/>
        </w:rPr>
      </w:pPr>
      <w:r w:rsidDel="00000000" w:rsidR="00000000" w:rsidRPr="00000000">
        <w:rPr>
          <w:color w:val="191919"/>
          <w:highlight w:val="white"/>
          <w:rtl w:val="0"/>
        </w:rPr>
        <w:t xml:space="preserve">Zastosowanie standardowych klauzul umownych wydanych przez Komisję Europejską.</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1068" w:firstLine="0"/>
        <w:jc w:val="both"/>
        <w:rPr>
          <w:color w:val="191919"/>
          <w:highlight w:val="whit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1068" w:firstLine="0"/>
        <w:jc w:val="both"/>
        <w:rPr>
          <w:color w:val="191919"/>
          <w:highlight w:val="white"/>
        </w:rPr>
      </w:pPr>
      <w:r w:rsidDel="00000000" w:rsidR="00000000" w:rsidRPr="00000000">
        <w:rPr>
          <w:color w:val="191919"/>
          <w:highlight w:val="white"/>
          <w:rtl w:val="0"/>
        </w:rPr>
        <w:t xml:space="preserve">Administrator zawsze informuje o zamiarze przekazania danych osobowych poza EOG na etapie ich zbierania.</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color w:val="191919"/>
          <w:highlight w:val="yellow"/>
        </w:rPr>
      </w:pP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240" w:line="240" w:lineRule="auto"/>
        <w:ind w:left="720" w:hanging="360"/>
        <w:jc w:val="center"/>
        <w:rPr>
          <w:b w:val="1"/>
          <w:bCs w:val="1"/>
          <w:color w:val="000000"/>
          <w:sz w:val="24"/>
          <w:szCs w:val="24"/>
        </w:rPr>
      </w:pPr>
      <w:r w:rsidDel="00000000" w:rsidR="00000000" w:rsidRPr="00000000">
        <w:rPr>
          <w:b w:val="1"/>
          <w:bCs w:val="1"/>
          <w:color w:val="000000"/>
          <w:sz w:val="24"/>
          <w:szCs w:val="24"/>
          <w:rtl w:val="0"/>
        </w:rPr>
        <w:t xml:space="preserve">Czy Dane są profilowane?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795" w:firstLine="0"/>
        <w:jc w:val="both"/>
        <w:rPr>
          <w:color w:val="191919"/>
          <w:highlight w:val="white"/>
        </w:rPr>
      </w:pPr>
      <w:r w:rsidDel="00000000" w:rsidR="00000000" w:rsidRPr="00000000">
        <w:rPr>
          <w:color w:val="191919"/>
          <w:highlight w:val="white"/>
          <w:rtl w:val="0"/>
        </w:rPr>
        <w:t xml:space="preserve">Informujemy, iż Państwa dane nie będą podlegać profilowaniu, czyli zautomatyzowanej analizy Pana/Pani danych i opracowania przewidywań na temat preferencji lub przyszłych zachowań (profilowanie oznacza, np. w przypadku profilowania marketingowego określanie, którą ofertą może być Pan/Pani najbardziej zainteresowany/a w oparciu o wcześniejsze Pana/Pani wybory).</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240" w:line="240" w:lineRule="auto"/>
        <w:ind w:left="720" w:hanging="360"/>
        <w:jc w:val="center"/>
        <w:rPr>
          <w:b w:val="1"/>
          <w:bCs w:val="1"/>
          <w:color w:val="000000"/>
          <w:sz w:val="24"/>
          <w:szCs w:val="24"/>
        </w:rPr>
      </w:pPr>
      <w:r w:rsidDel="00000000" w:rsidR="00000000" w:rsidRPr="00000000">
        <w:rPr>
          <w:b w:val="1"/>
          <w:bCs w:val="1"/>
          <w:color w:val="000000"/>
          <w:sz w:val="24"/>
          <w:szCs w:val="24"/>
          <w:rtl w:val="0"/>
        </w:rPr>
        <w:t xml:space="preserve"> Jakie przysługują Państwu prawa?</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Prawo dostępu do przetwarzanych przez nas danych osobowych (art. 15 Rozporządzenia),</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Prawo do sprostowania powierzonych danych osobowych, w tym ich poprawianie (art. 16 Rozporządzenia),</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Prawo do usunięcia danych osobowych z naszych systemów tzw. „prawo </w:t>
        <w:br w:type="textWrapping"/>
        <w:t xml:space="preserve">do bycia zapomnianym” - jeżeli Państwa zdaniem nie ma podstaw do tego, abyśmy przetwarzali Państwa dane, mogą Państwo zażądać, abyśmy je usunęli (art. 17 Rozporządzenia),</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Prawo do ograniczenia przetwarzania danych osobowych - mogą Państwo zażądać, abyśmy ograniczyli przetwarzanie danych osobowych wyłącznie do ich przechowywania lub wykonywania uzgodnionych z Państwem działań, jeżeli posiadamy nieprawidłowe dane na Państwa temat lub przetwarzamy je bezpodstawnie; lub nie chcą Państwo, żebyśmy je usunęli, bo są Państwu potrzebne do ustalenia, dochodzenia lub obrony roszczeń; lub na czas wniesionego przez sprzeciwu względem przetwarzania danych (art. 18 Rozporządzenia),</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Prawo do przenoszenia danych – Mają Państwo prawo otrzymać od nas w ustrukturyzowanym, powszechnie używanym formacie nadającym się do odczytu maszynowego (np. format „.csv”) dane osobowe dotyczące Państwa, w których posiadaniu jesteśmy na podstawie umowy lub wyrażonej zgody.  Uprawnienie to będzie przysługiwało, gdy będziemy posiadać dane w formacie elektronicznym – w przypadku posiadania danych jedynie w formie papierowej nie będą Państwo mieli możliwości skorzystania z tego uprawnienia. Mogą Państwo zlecić nam przesłanie tych danych bezpośrednio innemu podmiotowi (art. 20 Rozporządzenia),</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Prawo do cofnięcia zgody na przetwarzanie danych osobowych -w każdej chwili mają Państwo prawo cofnąć zgodę na przetwarzanie danych osobowych, które przetwarzamy na podstawie zgody – art. 7 ust. 3 Rozporządzenia. Cofnięcie zgody nie będzie wpływać na zgodność z prawem przetwarzania, którego dokonano na podstawie zgody przed jej wycofaniem. Cofnięcie zgody występuje poprzez wysłanie wiadomości mailowej na adres: </w:t>
      </w:r>
      <w:hyperlink r:id="rId9">
        <w:r w:rsidDel="00000000" w:rsidR="00000000" w:rsidRPr="00000000">
          <w:rPr>
            <w:color w:val="1155cc"/>
            <w:highlight w:val="yellow"/>
            <w:u w:val="single"/>
            <w:rtl w:val="0"/>
          </w:rPr>
          <w:t xml:space="preserve">pk9922404@gmail.com</w:t>
        </w:r>
      </w:hyperlink>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Prawo do sprzeciwu - może Pan/Pani wnieść sprzeciw wobec przetwarzania Pana/Pani danych, jeśli podstawą wykorzystania danych jest nasz prawnie uzasadniony interes - art. 21 Rozporządzenia. W takiej sytuacji, po rozpatrzeniu Państwa wniosku, nie będziemy już mogli przetwarzać danych osobowych objętych sprzeciwem na tej podstawie, chyba, że wykażemy, istnienie prawnie uzasadnionych podstaw do przetwarzania danych, które uznaje się za nadrzędne wobec Państwa interesów, praw i wolności</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Jeżeli w Państwa opinii przetwarzanie danych osobowych narusza przepisy Rozporządzenia, przysługuje Państwu prawo do wniesienia skargi do organu nadzorczego tj. Prezesa Urzędu Ochrony Danych Osobowych</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40" w:lineRule="auto"/>
        <w:ind w:left="720" w:hanging="360"/>
        <w:jc w:val="center"/>
        <w:rPr>
          <w:b w:val="1"/>
          <w:bCs w:val="1"/>
          <w:color w:val="000000"/>
          <w:sz w:val="24"/>
          <w:szCs w:val="24"/>
        </w:rPr>
      </w:pPr>
      <w:r w:rsidDel="00000000" w:rsidR="00000000" w:rsidRPr="00000000">
        <w:rPr>
          <w:b w:val="1"/>
          <w:bCs w:val="1"/>
          <w:color w:val="000000"/>
          <w:sz w:val="24"/>
          <w:szCs w:val="24"/>
          <w:rtl w:val="0"/>
        </w:rPr>
        <w:t xml:space="preserve">Kontakt</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color w:val="000000"/>
          <w:rtl w:val="0"/>
        </w:rPr>
        <w:t xml:space="preserve">Jeśli potrzebujecie Państwo dodatkowych informacji związanych z ochroną danych osobowych lub chcecie skorzystać z przysługujących praw, prosimy o kontakt na adres e-mail: </w:t>
      </w:r>
      <w:r w:rsidDel="00000000" w:rsidR="00000000" w:rsidRPr="00000000">
        <w:rPr>
          <w:b w:val="1"/>
          <w:bCs w:val="1"/>
          <w:color w:val="000000"/>
          <w:rtl w:val="0"/>
        </w:rPr>
        <w:t xml:space="preserve">rodo@twojstartup.pl</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31">
      <w:pPr>
        <w:ind w:left="75" w:firstLine="0"/>
        <w:jc w:val="both"/>
        <w:rPr>
          <w:color w:val="191919"/>
          <w:sz w:val="21"/>
          <w:szCs w:val="21"/>
          <w:highlight w:val="whit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pecjalista ds.RODO" w:id="0" w:date="2019-01-23T13:49:00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Nazwa Startup</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4">
    <w:lvl w:ilvl="0">
      <w:start w:val="1"/>
      <w:numFmt w:val="upperLetter"/>
      <w:lvlText w:val="%1."/>
      <w:lvlJc w:val="left"/>
      <w:pPr>
        <w:ind w:left="795" w:hanging="360"/>
      </w:pPr>
      <w:rPr/>
    </w:lvl>
    <w:lvl w:ilvl="1">
      <w:start w:val="1"/>
      <w:numFmt w:val="bullet"/>
      <w:lvlText w:val="●"/>
      <w:lvlJc w:val="left"/>
      <w:pPr>
        <w:ind w:left="1515" w:hanging="360"/>
      </w:pPr>
      <w:rPr>
        <w:rFonts w:ascii="Noto Sans Symbols" w:cs="Noto Sans Symbols" w:eastAsia="Noto Sans Symbols" w:hAnsi="Noto Sans Symbols"/>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5">
    <w:lvl w:ilvl="0">
      <w:start w:val="1"/>
      <w:numFmt w:val="upperLetter"/>
      <w:lvlText w:val="%1."/>
      <w:lvlJc w:val="lef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pk9922404@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HhBUcTNPsw2UVK1Lrlxhu0s3w==">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